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Pr>
        <w:spacing w:after="160"/>
        <w:jc w:val="center"/>
      </w:pPr>
      <w:r>
        <w:rPr>
          <w:b/>
          <w:color w:val="1F4E79"/>
          <w:sz w:val="56"/>
        </w:rPr>
        <w:t>Opt-In And Thank-You Page Copy</w:t>
      </w:r>
    </w:p>
    <w:p>
      <w:pPr>
        <w:spacing w:after="240"/>
        <w:jc w:val="center"/>
      </w:pPr>
      <w:r>
        <w:rPr>
          <w:color w:val="00A7A5"/>
          <w:sz w:val="30"/>
        </w:rPr>
        <w:t>Copy-ready pages for the free challenge funnel.</w:t>
      </w:r>
    </w:p>
    <w:p>
      <w:r>
        <w:br w:type="page"/>
      </w:r>
    </w:p>
    <w:p>
      <w:pPr>
        <w:pStyle w:val="Heading1"/>
        <w:keepNext/>
        <w:keepLines/>
        <w:widowControl/>
        <w:jc w:val="left"/>
      </w:pPr>
      <w:r>
        <w:t>Opt-In Page Copy</w:t>
      </w:r>
    </w:p>
    <w:p>
      <w:pPr>
        <w:pStyle w:val="Heading2"/>
        <w:keepNext/>
        <w:keepLines/>
        <w:widowControl/>
        <w:jc w:val="left"/>
      </w:pPr>
      <w:r>
        <w:t>Main Headline</w:t>
      </w:r>
    </w:p>
    <w:p>
      <w:r>
        <w:t>Plan Your Next Micro-Offer In 14 Days</w:t>
      </w:r>
    </w:p>
    <w:p>
      <w:pPr>
        <w:pStyle w:val="Heading2"/>
        <w:keepNext/>
        <w:keepLines/>
        <w:widowControl/>
        <w:jc w:val="left"/>
      </w:pPr>
      <w:r>
        <w:t>Subheadline</w:t>
      </w:r>
    </w:p>
    <w:p>
      <w:r>
        <w:t>Join the free email-delivered challenge and map a simple product, sales page message, and launch flow before you start building.</w:t>
      </w:r>
    </w:p>
    <w:p>
      <w:pPr>
        <w:pStyle w:val="Heading2"/>
        <w:keepNext/>
        <w:keepLines/>
        <w:widowControl/>
        <w:jc w:val="left"/>
      </w:pPr>
      <w:r>
        <w:t>Benefit Bullets</w:t>
      </w:r>
    </w:p>
    <w:p>
      <w:pPr>
        <w:pStyle w:val="ListBullet"/>
        <w:keepLines/>
        <w:spacing w:after="80"/>
      </w:pPr>
      <w:r>
        <w:t>Clarify one focused product idea without overbuilding.</w:t>
      </w:r>
    </w:p>
    <w:p>
      <w:pPr>
        <w:pStyle w:val="ListBullet"/>
        <w:keepLines/>
        <w:spacing w:after="80"/>
      </w:pPr>
      <w:r>
        <w:t>Shape a simple promise that buyers can understand quickly.</w:t>
      </w:r>
    </w:p>
    <w:p>
      <w:pPr>
        <w:pStyle w:val="ListBullet"/>
        <w:keepLines/>
        <w:spacing w:after="80"/>
      </w:pPr>
      <w:r>
        <w:t>Outline the product sections, files, or lessons you need.</w:t>
      </w:r>
    </w:p>
    <w:p>
      <w:pPr>
        <w:pStyle w:val="ListBullet"/>
        <w:keepLines/>
        <w:spacing w:after="80"/>
      </w:pPr>
      <w:r>
        <w:t>Plan a sales page message that explains the offer clearly.</w:t>
      </w:r>
    </w:p>
    <w:p>
      <w:pPr>
        <w:pStyle w:val="ListBullet"/>
        <w:keepLines/>
        <w:spacing w:after="80"/>
      </w:pPr>
      <w:r>
        <w:t>Prepare a smoother launch flow before you touch extra tools.</w:t>
      </w:r>
    </w:p>
    <w:p>
      <w:pPr>
        <w:pStyle w:val="Heading2"/>
        <w:keepNext/>
        <w:keepLines/>
        <w:widowControl/>
        <w:jc w:val="left"/>
      </w:pPr>
      <w:r>
        <w:t>Who This Is For</w:t>
      </w:r>
    </w:p>
    <w:p>
      <w:r>
        <w:t>This is for creators, affiliates, PLR sellers, and online marketers who want a faster way to plan simple digital offers. It is especially useful if you use AI to create ideas, but still get stuck assembling the product, sales page, and launch path.</w:t>
      </w:r>
    </w:p>
    <w:p>
      <w:pPr>
        <w:pStyle w:val="Heading2"/>
        <w:keepNext/>
        <w:keepLines/>
        <w:widowControl/>
        <w:jc w:val="left"/>
      </w:pPr>
      <w:r>
        <w:t>What You Get</w:t>
      </w:r>
    </w:p>
    <w:p>
      <w:pPr>
        <w:pStyle w:val="ListBullet"/>
        <w:keepLines/>
        <w:spacing w:after="80"/>
      </w:pPr>
      <w:r>
        <w:t>A practical report that explains the micro-offer launch plan.</w:t>
      </w:r>
    </w:p>
    <w:p>
      <w:pPr>
        <w:pStyle w:val="ListBullet"/>
        <w:keepLines/>
        <w:spacing w:after="80"/>
      </w:pPr>
      <w:r>
        <w:t>A focused checklist to help you organize each launch step.</w:t>
      </w:r>
    </w:p>
    <w:p>
      <w:pPr>
        <w:pStyle w:val="ListBullet"/>
        <w:keepLines/>
        <w:spacing w:after="80"/>
      </w:pPr>
      <w:r>
        <w:t>A 14-day email-delivered challenge with one clear task each day.</w:t>
      </w:r>
    </w:p>
    <w:p>
      <w:pPr>
        <w:pStyle w:val="ListBullet"/>
        <w:keepLines/>
        <w:spacing w:after="80"/>
      </w:pPr>
      <w:r>
        <w:t>Daily action steps that guide the promise, product, page, and delivery flow.</w:t>
      </w:r>
    </w:p>
    <w:p>
      <w:pPr>
        <w:pStyle w:val="ListBullet"/>
        <w:keepLines/>
        <w:spacing w:after="80"/>
      </w:pPr>
      <w:r>
        <w:t>Promo social posts you can adapt to send traffic to the opt-in page.</w:t>
      </w:r>
    </w:p>
    <w:p>
      <w:pPr>
        <w:pStyle w:val="ListBullet"/>
        <w:keepLines/>
        <w:spacing w:after="80"/>
      </w:pPr>
      <w:r>
        <w:t>Short video scripts you can adapt for simple challenge promotion.</w:t>
      </w:r>
    </w:p>
    <w:p>
      <w:pPr>
        <w:pStyle w:val="Heading2"/>
        <w:keepNext/>
        <w:keepLines/>
        <w:widowControl/>
        <w:jc w:val="left"/>
      </w:pPr>
      <w:r>
        <w:t>Why This Helps Before The Next Step</w:t>
      </w:r>
    </w:p>
    <w:p>
      <w:r>
        <w:t>A clear plan makes the creation stage easier. Before you build, you will know what the product promises, what it includes, how the page explains it, and how the buyer should receive it.</w:t>
      </w:r>
    </w:p>
    <w:p>
      <w:pPr>
        <w:pStyle w:val="Heading2"/>
        <w:keepNext/>
        <w:keepLines/>
        <w:widowControl/>
        <w:jc w:val="left"/>
      </w:pPr>
      <w:r>
        <w:t>Call-To-Action Blurb Above The Form</w:t>
      </w:r>
    </w:p>
    <w:p>
      <w:r>
        <w:t>Enter your details below and start the free 14-Day Micro-Offer Launch Challenge. Your report and checklist will help you prepare before Day 1 begins.</w:t>
      </w:r>
    </w:p>
    <w:p>
      <w:pPr>
        <w:pStyle w:val="Heading2"/>
        <w:keepNext/>
        <w:keepLines/>
        <w:widowControl/>
        <w:jc w:val="left"/>
      </w:pPr>
      <w:r>
        <w:t>Button Text</w:t>
      </w:r>
    </w:p>
    <w:p>
      <w:r>
        <w:t>Join The Free Challenge</w:t>
      </w:r>
    </w:p>
    <w:p>
      <w:pPr>
        <w:pStyle w:val="Heading2"/>
        <w:keepNext/>
        <w:keepLines/>
        <w:widowControl/>
        <w:jc w:val="left"/>
      </w:pPr>
      <w:r>
        <w:t>Trust Line</w:t>
      </w:r>
    </w:p>
    <w:p>
      <w:r>
        <w:t>No spam, unsubscribe anytime.</w:t>
      </w:r>
    </w:p>
    <w:p>
      <w:pPr>
        <w:pStyle w:val="Heading1"/>
        <w:keepNext/>
        <w:keepLines/>
        <w:widowControl/>
        <w:jc w:val="left"/>
      </w:pPr>
      <w:r>
        <w:t>Thank-You Page Copy</w:t>
      </w:r>
    </w:p>
    <w:p>
      <w:r>
        <w:t>Thank you for joining the 14-Day Micro-Offer Launch Challenge. Your report and checklist are on the way now.</w:t>
      </w:r>
    </w:p>
    <w:p>
      <w:r>
        <w:t>Please check your inbox, promotions tab, or spam folder. Start with the report and checklist before Day 1, so the first challenge task feels easier.</w:t>
      </w:r>
    </w:p>
    <w:p>
      <w:r>
        <w:t>Over the next 14 days, you will clarify your idea, shape the product, map the sales page message, and prepare the launch flow. Each email gives you one focused task.</w:t>
      </w:r>
    </w:p>
    <w:p>
      <w:r>
        <w:t>When you are ready to turn the plan into a usable product and sales page, One-Day Launches can help with the next step. It includes a guided framework, automatic sales page assembly, HTML file output, editable text, replaceable images, and payment button placement.</w:t>
      </w:r>
    </w:p>
    <w:p>
      <w:r>
        <w:t xml:space="preserve">You can </w:t>
      </w:r>
      <w:hyperlink r:id="rId9">
        <w:r>
          <w:rPr>
            <w:color w:val="0563C1"/>
            <w:u w:val="single"/>
          </w:rPr>
          <w:t>see One-Day Launches here</w:t>
        </w:r>
      </w:hyperlink>
      <w:r>
        <w:t xml:space="preserve"> when you are ready for the creation stage.</w:t>
      </w:r>
    </w:p>
    <w:sectPr w:rsidR="00FC693F" w:rsidRPr="0006063C" w:rsidSect="00034616">
      <w:footerReference w:type="default" r:id="rId10"/>
      <w:pgSz w:w="12240" w:h="15840"/>
      <w:pgMar w:top="1152" w:right="1094" w:bottom="1152" w:left="10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B6770"/>
        <w:sz w:val="18"/>
      </w:rPr>
      <w:t xml:space="preserve">Opt-In And Thank-You Page Copy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59" w:lineRule="auto"/>
    </w:pPr>
    <w:rPr>
      <w:rFonts w:ascii="Aptos" w:hAnsi="Aptos" w:eastAsia="Aptos"/>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160" w:after="120"/>
      <w:outlineLvl w:val="0"/>
    </w:pPr>
    <w:rPr>
      <w:rFonts w:asciiTheme="majorHAnsi" w:eastAsiaTheme="majorEastAsia" w:hAnsiTheme="majorHAnsi" w:cstheme="majorBidi" w:ascii="Aptos Display" w:hAnsi="Aptos Display" w:eastAsia="Aptos Display"/>
      <w:b/>
      <w:bCs/>
      <w:color w:val="1F4E79"/>
      <w:sz w:val="40"/>
      <w:szCs w:val="28"/>
    </w:rPr>
  </w:style>
  <w:style w:type="paragraph" w:styleId="Heading2">
    <w:name w:val="heading 2"/>
    <w:basedOn w:val="Normal"/>
    <w:next w:val="Normal"/>
    <w:link w:val="Heading2Char"/>
    <w:uiPriority w:val="9"/>
    <w:unhideWhenUsed/>
    <w:qFormat/>
    <w:rsid w:val="00FC693F"/>
    <w:pPr>
      <w:keepNext/>
      <w:keepLines/>
      <w:widowControl/>
      <w:spacing w:before="160" w:after="120"/>
      <w:outlineLvl w:val="1"/>
    </w:pPr>
    <w:rPr>
      <w:rFonts w:asciiTheme="majorHAnsi" w:eastAsiaTheme="majorEastAsia" w:hAnsiTheme="majorHAnsi" w:cstheme="majorBidi" w:ascii="Aptos Display" w:hAnsi="Aptos Display" w:eastAsia="Aptos Display"/>
      <w:b/>
      <w:bCs/>
      <w:color w:val="00A7A5"/>
      <w:sz w:val="30"/>
      <w:szCs w:val="26"/>
    </w:rPr>
  </w:style>
  <w:style w:type="paragraph" w:styleId="Heading3">
    <w:name w:val="heading 3"/>
    <w:basedOn w:val="Normal"/>
    <w:next w:val="Normal"/>
    <w:link w:val="Heading3Char"/>
    <w:uiPriority w:val="9"/>
    <w:unhideWhenUsed/>
    <w:qFormat/>
    <w:rsid w:val="00FC693F"/>
    <w:pPr>
      <w:keepNext/>
      <w:keepLines/>
      <w:widowControl/>
      <w:spacing w:before="160" w:after="120"/>
      <w:outlineLvl w:val="2"/>
    </w:pPr>
    <w:rPr>
      <w:rFonts w:asciiTheme="majorHAnsi" w:eastAsiaTheme="majorEastAsia" w:hAnsiTheme="majorHAnsi" w:cstheme="majorBidi" w:ascii="Aptos Display" w:hAnsi="Aptos Display" w:eastAsia="Aptos Display"/>
      <w:b/>
      <w:bCs/>
      <w:color w:val="1F4E79"/>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ind w:left="360"/>
      <w:contextualSpacing/>
    </w:pPr>
    <w:rPr>
      <w:rFonts w:ascii="Aptos" w:hAnsi="Aptos"/>
      <w:sz w:val="20"/>
    </w:rPr>
  </w:style>
  <w:style w:type="paragraph" w:styleId="ListBullet2">
    <w:name w:val="List Bullet 2"/>
    <w:basedOn w:val="Normal"/>
    <w:uiPriority w:val="99"/>
    <w:unhideWhenUsed/>
    <w:rsid w:val="00326F90"/>
    <w:pPr>
      <w:numPr>
        <w:numId w:val="2"/>
      </w:numPr>
      <w:spacing w:after="80"/>
      <w:ind w:left="360"/>
      <w:contextualSpacing/>
    </w:pPr>
    <w:rPr>
      <w:rFonts w:ascii="Aptos" w:hAnsi="Aptos"/>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arriorplus.com/o2/a/fc8q4cj/0"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