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/>
    <w:p/>
    <w:p/>
    <w:p/>
    <w:p>
      <w:pPr>
        <w:spacing w:after="160"/>
        <w:jc w:val="center"/>
      </w:pPr>
      <w:r>
        <w:rPr>
          <w:b/>
          <w:color w:val="1F4E79"/>
          <w:sz w:val="56"/>
        </w:rPr>
        <w:t>Offer Extraction And Challenge Outline</w:t>
      </w:r>
    </w:p>
    <w:p>
      <w:pPr>
        <w:spacing w:after="240"/>
        <w:jc w:val="center"/>
      </w:pPr>
      <w:r>
        <w:rPr>
          <w:color w:val="00A7A5"/>
          <w:sz w:val="30"/>
        </w:rPr>
        <w:t>Planning notes for the 14-Day Micro-Offer Launch Challenge.</w:t>
      </w:r>
    </w:p>
    <w:p>
      <w:r>
        <w:br w:type="page"/>
      </w:r>
    </w:p>
    <w:p>
      <w:pPr>
        <w:pStyle w:val="Heading1"/>
        <w:keepNext/>
        <w:keepLines/>
        <w:widowControl/>
        <w:jc w:val="left"/>
      </w:pPr>
      <w:r>
        <w:t>Offer Extraction Summary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5026"/>
        <w:gridCol w:w="5026"/>
      </w:tblGrid>
      <w:tr>
        <w:trPr>
          <w:cantSplit/>
        </w:trPr>
        <w:tc>
          <w:tcPr>
            <w:tcW w:type="dxa" w:w="5026"/>
            <w:shd w:fill="E9FBFA"/>
            <w:tcBorders>
              <w:top w:sz="4" w:val="single" w:color="D0E8E8"/>
              <w:left w:sz="4" w:val="single" w:color="D0E8E8"/>
              <w:bottom w:sz="4" w:val="single" w:color="D0E8E8"/>
              <w:right w:sz="4" w:val="single" w:color="D0E8E8"/>
            </w:tcBorders>
          </w:tcPr>
          <w:p>
            <w:pPr>
              <w:spacing w:after="80"/>
            </w:pPr>
            <w:r>
              <w:rPr>
                <w:b/>
              </w:rPr>
              <w:t>Offer Name</w:t>
            </w:r>
          </w:p>
        </w:tc>
        <w:tc>
          <w:tcPr>
            <w:tcW w:type="dxa" w:w="5026"/>
            <w:tcBorders>
              <w:top w:sz="4" w:val="single" w:color="D0E8E8"/>
              <w:left w:sz="4" w:val="single" w:color="D0E8E8"/>
              <w:bottom w:sz="4" w:val="single" w:color="D0E8E8"/>
              <w:right w:sz="4" w:val="single" w:color="D0E8E8"/>
            </w:tcBorders>
          </w:tcPr>
          <w:p>
            <w:pPr>
              <w:spacing w:after="80"/>
            </w:pPr>
            <w:r>
              <w:t>One-Day Launches</w:t>
            </w:r>
          </w:p>
        </w:tc>
      </w:tr>
      <w:tr>
        <w:trPr>
          <w:cantSplit/>
        </w:trPr>
        <w:tc>
          <w:tcPr>
            <w:tcW w:type="dxa" w:w="5026"/>
            <w:shd w:fill="E9FBFA"/>
            <w:tcBorders>
              <w:top w:sz="4" w:val="single" w:color="D0E8E8"/>
              <w:left w:sz="4" w:val="single" w:color="D0E8E8"/>
              <w:bottom w:sz="4" w:val="single" w:color="D0E8E8"/>
              <w:right w:sz="4" w:val="single" w:color="D0E8E8"/>
            </w:tcBorders>
          </w:tcPr>
          <w:p>
            <w:pPr>
              <w:spacing w:after="80"/>
            </w:pPr>
            <w:r>
              <w:rPr>
                <w:b/>
              </w:rPr>
              <w:t>Offer Type</w:t>
            </w:r>
          </w:p>
        </w:tc>
        <w:tc>
          <w:tcPr>
            <w:tcW w:type="dxa" w:w="5026"/>
            <w:tcBorders>
              <w:top w:sz="4" w:val="single" w:color="D0E8E8"/>
              <w:left w:sz="4" w:val="single" w:color="D0E8E8"/>
              <w:bottom w:sz="4" w:val="single" w:color="D0E8E8"/>
              <w:right w:sz="4" w:val="single" w:color="D0E8E8"/>
            </w:tcBorders>
          </w:tcPr>
          <w:p>
            <w:pPr>
              <w:spacing w:after="80"/>
            </w:pPr>
            <w:r>
              <w:t>Cloud-based micro-product and sales page creation framework, with personal and reseller options.</w:t>
            </w:r>
          </w:p>
        </w:tc>
      </w:tr>
      <w:tr>
        <w:trPr>
          <w:cantSplit/>
        </w:trPr>
        <w:tc>
          <w:tcPr>
            <w:tcW w:type="dxa" w:w="5026"/>
            <w:shd w:fill="E9FBFA"/>
            <w:tcBorders>
              <w:top w:sz="4" w:val="single" w:color="D0E8E8"/>
              <w:left w:sz="4" w:val="single" w:color="D0E8E8"/>
              <w:bottom w:sz="4" w:val="single" w:color="D0E8E8"/>
              <w:right w:sz="4" w:val="single" w:color="D0E8E8"/>
            </w:tcBorders>
          </w:tcPr>
          <w:p>
            <w:pPr>
              <w:spacing w:after="80"/>
            </w:pPr>
            <w:r>
              <w:rPr>
                <w:b/>
              </w:rPr>
              <w:t>Audience</w:t>
            </w:r>
          </w:p>
        </w:tc>
        <w:tc>
          <w:tcPr>
            <w:tcW w:type="dxa" w:w="5026"/>
            <w:tcBorders>
              <w:top w:sz="4" w:val="single" w:color="D0E8E8"/>
              <w:left w:sz="4" w:val="single" w:color="D0E8E8"/>
              <w:bottom w:sz="4" w:val="single" w:color="D0E8E8"/>
              <w:right w:sz="4" w:val="single" w:color="D0E8E8"/>
            </w:tcBorders>
          </w:tcPr>
          <w:p>
            <w:pPr>
              <w:spacing w:after="80"/>
            </w:pPr>
            <w:r>
              <w:t>Online sellers, creators, affiliates, PLR sellers, and marketers who want a faster way to prepare simple digital offers.</w:t>
            </w:r>
          </w:p>
        </w:tc>
      </w:tr>
      <w:tr>
        <w:trPr>
          <w:cantSplit/>
        </w:trPr>
        <w:tc>
          <w:tcPr>
            <w:tcW w:type="dxa" w:w="5026"/>
            <w:shd w:fill="E9FBFA"/>
            <w:tcBorders>
              <w:top w:sz="4" w:val="single" w:color="D0E8E8"/>
              <w:left w:sz="4" w:val="single" w:color="D0E8E8"/>
              <w:bottom w:sz="4" w:val="single" w:color="D0E8E8"/>
              <w:right w:sz="4" w:val="single" w:color="D0E8E8"/>
            </w:tcBorders>
          </w:tcPr>
          <w:p>
            <w:pPr>
              <w:spacing w:after="80"/>
            </w:pPr>
            <w:r>
              <w:rPr>
                <w:b/>
              </w:rPr>
              <w:t>Core Problem</w:t>
            </w:r>
          </w:p>
        </w:tc>
        <w:tc>
          <w:tcPr>
            <w:tcW w:type="dxa" w:w="5026"/>
            <w:tcBorders>
              <w:top w:sz="4" w:val="single" w:color="D0E8E8"/>
              <w:left w:sz="4" w:val="single" w:color="D0E8E8"/>
              <w:bottom w:sz="4" w:val="single" w:color="D0E8E8"/>
              <w:right w:sz="4" w:val="single" w:color="D0E8E8"/>
            </w:tcBorders>
          </w:tcPr>
          <w:p>
            <w:pPr>
              <w:spacing w:after="80"/>
            </w:pPr>
            <w:r>
              <w:t>Creating an AI product may be simple, but assembling the product, sales page, files, and launch path slows people down.</w:t>
            </w:r>
          </w:p>
        </w:tc>
      </w:tr>
      <w:tr>
        <w:trPr>
          <w:cantSplit/>
        </w:trPr>
        <w:tc>
          <w:tcPr>
            <w:tcW w:type="dxa" w:w="5026"/>
            <w:shd w:fill="E9FBFA"/>
            <w:tcBorders>
              <w:top w:sz="4" w:val="single" w:color="D0E8E8"/>
              <w:left w:sz="4" w:val="single" w:color="D0E8E8"/>
              <w:bottom w:sz="4" w:val="single" w:color="D0E8E8"/>
              <w:right w:sz="4" w:val="single" w:color="D0E8E8"/>
            </w:tcBorders>
          </w:tcPr>
          <w:p>
            <w:pPr>
              <w:spacing w:after="80"/>
            </w:pPr>
            <w:r>
              <w:rPr>
                <w:b/>
              </w:rPr>
              <w:t>Main Promise</w:t>
            </w:r>
          </w:p>
        </w:tc>
        <w:tc>
          <w:tcPr>
            <w:tcW w:type="dxa" w:w="5026"/>
            <w:tcBorders>
              <w:top w:sz="4" w:val="single" w:color="D0E8E8"/>
              <w:left w:sz="4" w:val="single" w:color="D0E8E8"/>
              <w:bottom w:sz="4" w:val="single" w:color="D0E8E8"/>
              <w:right w:sz="4" w:val="single" w:color="D0E8E8"/>
            </w:tcBorders>
          </w:tcPr>
          <w:p>
            <w:pPr>
              <w:spacing w:after="80"/>
            </w:pPr>
            <w:r>
              <w:t>Helps users move from idea to structured micro-offer and sales page faster.</w:t>
            </w:r>
          </w:p>
        </w:tc>
      </w:tr>
      <w:tr>
        <w:trPr>
          <w:cantSplit/>
        </w:trPr>
        <w:tc>
          <w:tcPr>
            <w:tcW w:type="dxa" w:w="5026"/>
            <w:shd w:fill="E9FBFA"/>
            <w:tcBorders>
              <w:top w:sz="4" w:val="single" w:color="D0E8E8"/>
              <w:left w:sz="4" w:val="single" w:color="D0E8E8"/>
              <w:bottom w:sz="4" w:val="single" w:color="D0E8E8"/>
              <w:right w:sz="4" w:val="single" w:color="D0E8E8"/>
            </w:tcBorders>
          </w:tcPr>
          <w:p>
            <w:pPr>
              <w:spacing w:after="80"/>
            </w:pPr>
            <w:r>
              <w:rPr>
                <w:b/>
              </w:rPr>
              <w:t>Product Mechanism</w:t>
            </w:r>
          </w:p>
        </w:tc>
        <w:tc>
          <w:tcPr>
            <w:tcW w:type="dxa" w:w="5026"/>
            <w:tcBorders>
              <w:top w:sz="4" w:val="single" w:color="D0E8E8"/>
              <w:left w:sz="4" w:val="single" w:color="D0E8E8"/>
              <w:bottom w:sz="4" w:val="single" w:color="D0E8E8"/>
              <w:right w:sz="4" w:val="single" w:color="D0E8E8"/>
            </w:tcBorders>
          </w:tcPr>
          <w:p>
            <w:pPr>
              <w:spacing w:after="80"/>
            </w:pPr>
            <w:r>
              <w:t>A guided framework maps generated content into a complete sales page layout and produces HTML files for regular hosting.</w:t>
            </w:r>
          </w:p>
        </w:tc>
      </w:tr>
      <w:tr>
        <w:trPr>
          <w:cantSplit/>
        </w:trPr>
        <w:tc>
          <w:tcPr>
            <w:tcW w:type="dxa" w:w="5026"/>
            <w:shd w:fill="E9FBFA"/>
            <w:tcBorders>
              <w:top w:sz="4" w:val="single" w:color="D0E8E8"/>
              <w:left w:sz="4" w:val="single" w:color="D0E8E8"/>
              <w:bottom w:sz="4" w:val="single" w:color="D0E8E8"/>
              <w:right w:sz="4" w:val="single" w:color="D0E8E8"/>
            </w:tcBorders>
          </w:tcPr>
          <w:p>
            <w:pPr>
              <w:spacing w:after="80"/>
            </w:pPr>
            <w:r>
              <w:rPr>
                <w:b/>
              </w:rPr>
              <w:t>Key Features</w:t>
            </w:r>
          </w:p>
        </w:tc>
        <w:tc>
          <w:tcPr>
            <w:tcW w:type="dxa" w:w="5026"/>
            <w:tcBorders>
              <w:top w:sz="4" w:val="single" w:color="D0E8E8"/>
              <w:left w:sz="4" w:val="single" w:color="D0E8E8"/>
              <w:bottom w:sz="4" w:val="single" w:color="D0E8E8"/>
              <w:right w:sz="4" w:val="single" w:color="D0E8E8"/>
            </w:tcBorders>
          </w:tcPr>
          <w:p>
            <w:pPr>
              <w:spacing w:after="80"/>
            </w:pPr>
            <w:r>
              <w:t>Micro-product creation flow, automatic sales page assembly, HTML file output, editable text, replaceable images, and payment button placement.</w:t>
            </w:r>
          </w:p>
        </w:tc>
      </w:tr>
      <w:tr>
        <w:trPr>
          <w:cantSplit/>
        </w:trPr>
        <w:tc>
          <w:tcPr>
            <w:tcW w:type="dxa" w:w="5026"/>
            <w:shd w:fill="E9FBFA"/>
            <w:tcBorders>
              <w:top w:sz="4" w:val="single" w:color="D0E8E8"/>
              <w:left w:sz="4" w:val="single" w:color="D0E8E8"/>
              <w:bottom w:sz="4" w:val="single" w:color="D0E8E8"/>
              <w:right w:sz="4" w:val="single" w:color="D0E8E8"/>
            </w:tcBorders>
          </w:tcPr>
          <w:p>
            <w:pPr>
              <w:spacing w:after="80"/>
            </w:pPr>
            <w:r>
              <w:rPr>
                <w:b/>
              </w:rPr>
              <w:t>Key Benefits</w:t>
            </w:r>
          </w:p>
        </w:tc>
        <w:tc>
          <w:tcPr>
            <w:tcW w:type="dxa" w:w="5026"/>
            <w:tcBorders>
              <w:top w:sz="4" w:val="single" w:color="D0E8E8"/>
              <w:left w:sz="4" w:val="single" w:color="D0E8E8"/>
              <w:bottom w:sz="4" w:val="single" w:color="D0E8E8"/>
              <w:right w:sz="4" w:val="single" w:color="D0E8E8"/>
            </w:tcBorders>
          </w:tcPr>
          <w:p>
            <w:pPr>
              <w:spacing w:after="80"/>
            </w:pPr>
            <w:r>
              <w:t>Reduces manual setup, helps organize the offer, supports faster testing, and makes the launch process easier to repeat.</w:t>
            </w:r>
          </w:p>
        </w:tc>
      </w:tr>
      <w:tr>
        <w:trPr>
          <w:cantSplit/>
        </w:trPr>
        <w:tc>
          <w:tcPr>
            <w:tcW w:type="dxa" w:w="5026"/>
            <w:shd w:fill="E9FBFA"/>
            <w:tcBorders>
              <w:top w:sz="4" w:val="single" w:color="D0E8E8"/>
              <w:left w:sz="4" w:val="single" w:color="D0E8E8"/>
              <w:bottom w:sz="4" w:val="single" w:color="D0E8E8"/>
              <w:right w:sz="4" w:val="single" w:color="D0E8E8"/>
            </w:tcBorders>
          </w:tcPr>
          <w:p>
            <w:pPr>
              <w:spacing w:after="80"/>
            </w:pPr>
            <w:r>
              <w:rPr>
                <w:b/>
              </w:rPr>
              <w:t>Reseller Angle</w:t>
            </w:r>
          </w:p>
        </w:tc>
        <w:tc>
          <w:tcPr>
            <w:tcW w:type="dxa" w:w="5026"/>
            <w:tcBorders>
              <w:top w:sz="4" w:val="single" w:color="D0E8E8"/>
              <w:left w:sz="4" w:val="single" w:color="D0E8E8"/>
              <w:bottom w:sz="4" w:val="single" w:color="D0E8E8"/>
              <w:right w:sz="4" w:val="single" w:color="D0E8E8"/>
            </w:tcBorders>
          </w:tcPr>
          <w:p>
            <w:pPr>
              <w:spacing w:after="80"/>
            </w:pPr>
            <w:r>
              <w:t>The reseller option includes reseller material, a reseller website, editable sales page graphics, an MP4 video, and an editable user manual.</w:t>
            </w:r>
          </w:p>
        </w:tc>
      </w:tr>
      <w:tr>
        <w:trPr>
          <w:cantSplit/>
        </w:trPr>
        <w:tc>
          <w:tcPr>
            <w:tcW w:type="dxa" w:w="5026"/>
            <w:shd w:fill="E9FBFA"/>
            <w:tcBorders>
              <w:top w:sz="4" w:val="single" w:color="D0E8E8"/>
              <w:left w:sz="4" w:val="single" w:color="D0E8E8"/>
              <w:bottom w:sz="4" w:val="single" w:color="D0E8E8"/>
              <w:right w:sz="4" w:val="single" w:color="D0E8E8"/>
            </w:tcBorders>
          </w:tcPr>
          <w:p>
            <w:pPr>
              <w:spacing w:after="80"/>
            </w:pPr>
            <w:r>
              <w:rPr>
                <w:b/>
              </w:rPr>
              <w:t>Important Compliance Notes</w:t>
            </w:r>
          </w:p>
        </w:tc>
        <w:tc>
          <w:tcPr>
            <w:tcW w:type="dxa" w:w="5026"/>
            <w:tcBorders>
              <w:top w:sz="4" w:val="single" w:color="D0E8E8"/>
              <w:left w:sz="4" w:val="single" w:color="D0E8E8"/>
              <w:bottom w:sz="4" w:val="single" w:color="D0E8E8"/>
              <w:right w:sz="4" w:val="single" w:color="D0E8E8"/>
            </w:tcBorders>
          </w:tcPr>
          <w:p>
            <w:pPr>
              <w:spacing w:after="80"/>
            </w:pPr>
            <w:r>
              <w:t>Avoid income guarantees, ranking promises, or guaranteed launch results.</w:t>
            </w:r>
          </w:p>
        </w:tc>
      </w:tr>
      <w:tr>
        <w:trPr>
          <w:cantSplit/>
        </w:trPr>
        <w:tc>
          <w:tcPr>
            <w:tcW w:type="dxa" w:w="5026"/>
            <w:shd w:fill="E9FBFA"/>
            <w:tcBorders>
              <w:top w:sz="4" w:val="single" w:color="D0E8E8"/>
              <w:left w:sz="4" w:val="single" w:color="D0E8E8"/>
              <w:bottom w:sz="4" w:val="single" w:color="D0E8E8"/>
              <w:right w:sz="4" w:val="single" w:color="D0E8E8"/>
            </w:tcBorders>
          </w:tcPr>
          <w:p>
            <w:pPr>
              <w:spacing w:after="80"/>
            </w:pPr>
            <w:r>
              <w:rPr>
                <w:b/>
              </w:rPr>
              <w:t>Offer Angle</w:t>
            </w:r>
          </w:p>
        </w:tc>
        <w:tc>
          <w:tcPr>
            <w:tcW w:type="dxa" w:w="5026"/>
            <w:tcBorders>
              <w:top w:sz="4" w:val="single" w:color="D0E8E8"/>
              <w:left w:sz="4" w:val="single" w:color="D0E8E8"/>
              <w:bottom w:sz="4" w:val="single" w:color="D0E8E8"/>
              <w:right w:sz="4" w:val="single" w:color="D0E8E8"/>
            </w:tcBorders>
          </w:tcPr>
          <w:p>
            <w:pPr>
              <w:spacing w:after="80"/>
            </w:pPr>
            <w:r>
              <w:t>Stop overbuilding and create a simpler launch path for focused micro-offers.</w:t>
            </w:r>
          </w:p>
        </w:tc>
      </w:tr>
      <w:tr>
        <w:trPr>
          <w:cantSplit/>
        </w:trPr>
        <w:tc>
          <w:tcPr>
            <w:tcW w:type="dxa" w:w="5026"/>
            <w:shd w:fill="E9FBFA"/>
            <w:tcBorders>
              <w:top w:sz="4" w:val="single" w:color="D0E8E8"/>
              <w:left w:sz="4" w:val="single" w:color="D0E8E8"/>
              <w:bottom w:sz="4" w:val="single" w:color="D0E8E8"/>
              <w:right w:sz="4" w:val="single" w:color="D0E8E8"/>
            </w:tcBorders>
          </w:tcPr>
          <w:p>
            <w:pPr>
              <w:spacing w:after="80"/>
            </w:pPr>
            <w:r>
              <w:rPr>
                <w:b/>
              </w:rPr>
              <w:t>Best Challenge Angle</w:t>
            </w:r>
          </w:p>
        </w:tc>
        <w:tc>
          <w:tcPr>
            <w:tcW w:type="dxa" w:w="5026"/>
            <w:tcBorders>
              <w:top w:sz="4" w:val="single" w:color="D0E8E8"/>
              <w:left w:sz="4" w:val="single" w:color="D0E8E8"/>
              <w:bottom w:sz="4" w:val="single" w:color="D0E8E8"/>
              <w:right w:sz="4" w:val="single" w:color="D0E8E8"/>
            </w:tcBorders>
          </w:tcPr>
          <w:p>
            <w:pPr>
              <w:spacing w:after="80"/>
            </w:pPr>
            <w:r>
              <w:t>A 14-day planning challenge that helps subscribers shape a micro-product, outline the sales page, and prepare the launch flow.</w:t>
            </w:r>
          </w:p>
        </w:tc>
      </w:tr>
    </w:tbl>
    <w:p>
      <w:r>
        <w:br w:type="page"/>
      </w:r>
    </w:p>
    <w:p>
      <w:pPr>
        <w:pStyle w:val="Heading1"/>
        <w:keepNext/>
        <w:keepLines/>
        <w:widowControl/>
        <w:jc w:val="left"/>
      </w:pPr>
      <w:r>
        <w:t>Challenge Outline</w:t>
      </w:r>
    </w:p>
    <w:p>
      <w:pPr>
        <w:pStyle w:val="Heading2"/>
        <w:keepNext/>
        <w:keepLines/>
        <w:widowControl/>
        <w:jc w:val="left"/>
      </w:pPr>
      <w:r>
        <w:t>Challenge Title</w:t>
      </w:r>
    </w:p>
    <w:p>
      <w:r>
        <w:t>14-Day Micro-Offer Launch Challenge</w:t>
      </w:r>
    </w:p>
    <w:p>
      <w:pPr>
        <w:pStyle w:val="Heading2"/>
        <w:keepNext/>
        <w:keepLines/>
        <w:widowControl/>
        <w:jc w:val="left"/>
      </w:pPr>
      <w:r>
        <w:t>Challenge Overview</w:t>
      </w:r>
    </w:p>
    <w:p>
      <w:r>
        <w:t>This challenge helps subscribers turn one simple idea into a focused micro-offer plan. It guides them through the promise, product structure, sales page message, delivery flow, and launch path.</w:t>
      </w:r>
    </w:p>
    <w:p>
      <w:pPr>
        <w:pStyle w:val="Heading2"/>
        <w:keepNext/>
        <w:keepLines/>
        <w:widowControl/>
        <w:jc w:val="left"/>
      </w:pPr>
      <w:r>
        <w:t>Daily Challenge Outline</w:t>
      </w:r>
    </w:p>
    <w:p>
      <w:r>
        <w:rPr>
          <w:b/>
        </w:rPr>
        <w:t xml:space="preserve">Day 1 - </w:t>
      </w:r>
      <w:r>
        <w:t>Choose one small micro-offer idea and define the core result.</w:t>
      </w:r>
    </w:p>
    <w:p>
      <w:r>
        <w:rPr>
          <w:b/>
        </w:rPr>
        <w:t xml:space="preserve">Day 2 - </w:t>
      </w:r>
      <w:r>
        <w:t>Identify the buyer and the launch problem they want solved.</w:t>
      </w:r>
    </w:p>
    <w:p>
      <w:r>
        <w:rPr>
          <w:b/>
        </w:rPr>
        <w:t xml:space="preserve">Day 3 - </w:t>
      </w:r>
      <w:r>
        <w:t>Write a clear promise that fits a focused micro-product.</w:t>
      </w:r>
    </w:p>
    <w:p>
      <w:r>
        <w:rPr>
          <w:b/>
        </w:rPr>
        <w:t xml:space="preserve">Day 4 - </w:t>
      </w:r>
      <w:r>
        <w:t>Select the product format and remove anything extra.</w:t>
      </w:r>
    </w:p>
    <w:p>
      <w:r>
        <w:rPr>
          <w:b/>
        </w:rPr>
        <w:t xml:space="preserve">Day 5 - </w:t>
      </w:r>
      <w:r>
        <w:t>Map the product sections, lessons, or files.</w:t>
      </w:r>
    </w:p>
    <w:p>
      <w:r>
        <w:rPr>
          <w:b/>
        </w:rPr>
        <w:t xml:space="preserve">Day 6 - </w:t>
      </w:r>
      <w:r>
        <w:t>Create the first useful product outline.</w:t>
      </w:r>
    </w:p>
    <w:p>
      <w:r>
        <w:rPr>
          <w:b/>
        </w:rPr>
        <w:t xml:space="preserve">Day 7 - </w:t>
      </w:r>
      <w:r>
        <w:t>Write the headline and opening page message.</w:t>
      </w:r>
    </w:p>
    <w:p>
      <w:r>
        <w:rPr>
          <w:b/>
        </w:rPr>
        <w:t xml:space="preserve">Day 8 - </w:t>
      </w:r>
      <w:r>
        <w:t>Build the problem section and explain the friction.</w:t>
      </w:r>
    </w:p>
    <w:p>
      <w:r>
        <w:rPr>
          <w:b/>
        </w:rPr>
        <w:t xml:space="preserve">Day 9 - </w:t>
      </w:r>
      <w:r>
        <w:t>List the product deliverables with clear benefits.</w:t>
      </w:r>
    </w:p>
    <w:p>
      <w:r>
        <w:rPr>
          <w:b/>
        </w:rPr>
        <w:t xml:space="preserve">Day 10 - </w:t>
      </w:r>
      <w:r>
        <w:t>Write the proof-of-usefulness section without hype.</w:t>
      </w:r>
    </w:p>
    <w:p>
      <w:r>
        <w:rPr>
          <w:b/>
        </w:rPr>
        <w:t xml:space="preserve">Day 11 - </w:t>
      </w:r>
      <w:r>
        <w:t>Prepare the call-to-action and payment button plan.</w:t>
      </w:r>
    </w:p>
    <w:p>
      <w:r>
        <w:rPr>
          <w:b/>
        </w:rPr>
        <w:t xml:space="preserve">Day 12 - </w:t>
      </w:r>
      <w:r>
        <w:t>Plan the download page and delivery flow.</w:t>
      </w:r>
    </w:p>
    <w:p>
      <w:r>
        <w:rPr>
          <w:b/>
        </w:rPr>
        <w:t xml:space="preserve">Day 13 - </w:t>
      </w:r>
      <w:r>
        <w:t>Review the product, page, and launch path for clarity.</w:t>
      </w:r>
    </w:p>
    <w:p>
      <w:r>
        <w:rPr>
          <w:b/>
        </w:rPr>
        <w:t xml:space="preserve">Day 14 - </w:t>
      </w:r>
      <w:r>
        <w:t>Finalize the simple launch plan and choose the next creation step.</w:t>
      </w:r>
    </w:p>
    <w:p>
      <w:r>
        <w:t>What happens next: I’ll build the complete challenge kit around this outline, including the report, checklist, opt-in page, thank-you page, emails, social posts, and short video scripts.</w:t>
      </w:r>
    </w:p>
    <w:sectPr w:rsidR="00FC693F" w:rsidRPr="0006063C" w:rsidSect="00034616">
      <w:footerReference w:type="default" r:id="rId9"/>
      <w:pgSz w:w="12240" w:h="15840"/>
      <w:pgMar w:top="1152" w:right="1094" w:bottom="1152" w:left="109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5B6770"/>
        <w:sz w:val="18"/>
      </w:rPr>
      <w:t xml:space="preserve">Offer Extraction And Challenge Outline  |  Page </w:t>
    </w: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40" w:line="259" w:lineRule="auto"/>
    </w:pPr>
    <w:rPr>
      <w:rFonts w:ascii="Aptos" w:hAnsi="Aptos" w:eastAsia="Aptos"/>
      <w:color w:val="1F2933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widowControl/>
      <w:spacing w:before="160" w:after="120"/>
      <w:outlineLvl w:val="0"/>
    </w:pPr>
    <w:rPr>
      <w:rFonts w:asciiTheme="majorHAnsi" w:eastAsiaTheme="majorEastAsia" w:hAnsiTheme="majorHAnsi" w:cstheme="majorBidi" w:ascii="Aptos Display" w:hAnsi="Aptos Display" w:eastAsia="Aptos Display"/>
      <w:b/>
      <w:bCs/>
      <w:color w:val="1F4E79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widowControl/>
      <w:spacing w:before="160" w:after="120"/>
      <w:outlineLvl w:val="1"/>
    </w:pPr>
    <w:rPr>
      <w:rFonts w:asciiTheme="majorHAnsi" w:eastAsiaTheme="majorEastAsia" w:hAnsiTheme="majorHAnsi" w:cstheme="majorBidi" w:ascii="Aptos Display" w:hAnsi="Aptos Display" w:eastAsia="Aptos Display"/>
      <w:b/>
      <w:bCs/>
      <w:color w:val="00A7A5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widowControl/>
      <w:spacing w:before="160" w:after="120"/>
      <w:outlineLvl w:val="2"/>
    </w:pPr>
    <w:rPr>
      <w:rFonts w:asciiTheme="majorHAnsi" w:eastAsiaTheme="majorEastAsia" w:hAnsiTheme="majorHAnsi" w:cstheme="majorBidi" w:ascii="Aptos Display" w:hAnsi="Aptos Display" w:eastAsia="Aptos Display"/>
      <w:b/>
      <w:bCs/>
      <w:color w:val="1F4E79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80"/>
      <w:ind w:left="360"/>
      <w:contextualSpacing/>
    </w:pPr>
    <w:rPr>
      <w:rFonts w:ascii="Aptos" w:hAnsi="Aptos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spacing w:after="80"/>
      <w:ind w:left="360"/>
      <w:contextualSpacing/>
    </w:pPr>
    <w:rPr>
      <w:rFonts w:ascii="Aptos" w:hAnsi="Aptos"/>
      <w:sz w:val="20"/>
    </w:r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